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“The Jacket” Reading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Answer each question in complete sentences, using evidence based answers. You will need to turn this into Mrs. MacDonald.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the narrator feel when he sees his new green jacket? Why do you think he feels this way?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can you tell that the narrator cares about his mother’s feelings?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do you think the author did not get rid of the jacket? Think about his family circumstances, the role the jackets plays in his life while he has it, his mother’s reaction when he shows her how worn out it is, when writing your answer.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might the jacket be different if the narrator’s mother told the story. What might she say about the jacket and why she bought 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 think the narrator’s attitude toward the jacket changes by the end of the story?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